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4625C" w14:textId="398EA476" w:rsidR="00F54020" w:rsidRDefault="00F54020" w:rsidP="00F54020">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Pr>
          <w:rFonts w:ascii="Arial" w:hAnsi="Arial" w:cs="Arial"/>
          <w:b/>
          <w:sz w:val="24"/>
          <w:szCs w:val="24"/>
        </w:rPr>
        <w:t xml:space="preserve">                                                        </w:t>
      </w:r>
      <w:r w:rsidR="00C56142" w:rsidRPr="00C56142">
        <w:rPr>
          <w:rFonts w:ascii="Arial" w:hAnsi="Arial" w:cs="Arial"/>
          <w:b/>
          <w:sz w:val="24"/>
          <w:szCs w:val="24"/>
        </w:rPr>
        <w:t>R4-2200469</w:t>
      </w:r>
    </w:p>
    <w:p w14:paraId="74599938" w14:textId="77777777" w:rsidR="00F54020" w:rsidRDefault="00F54020"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4E2857">
        <w:rPr>
          <w:rFonts w:ascii="Arial" w:hAnsi="Arial" w:cs="Arial"/>
          <w:b/>
          <w:sz w:val="24"/>
          <w:szCs w:val="24"/>
          <w:lang w:eastAsia="zh-CN"/>
        </w:rPr>
        <w:t>Electronic Meeting, January 17-25,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77777777"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p>
    <w:p w14:paraId="66ED4C5F" w14:textId="1EDD139C" w:rsidR="00DD0FC1" w:rsidRPr="0077349D" w:rsidRDefault="00DD0FC1" w:rsidP="00DD0FC1">
      <w:pPr>
        <w:spacing w:after="120"/>
        <w:ind w:left="1985" w:hanging="1985"/>
        <w:jc w:val="both"/>
        <w:rPr>
          <w:rFonts w:ascii="Arial" w:hAnsi="Arial" w:cs="Arial"/>
          <w:bCs/>
        </w:rPr>
      </w:pPr>
      <w:r w:rsidRPr="0077349D">
        <w:rPr>
          <w:rFonts w:ascii="Arial" w:hAnsi="Arial" w:cs="Arial"/>
          <w:b/>
          <w:lang w:val="en-US"/>
        </w:rPr>
        <w:t>Title:</w:t>
      </w:r>
      <w:r w:rsidRPr="0077349D">
        <w:rPr>
          <w:rFonts w:ascii="Arial" w:hAnsi="Arial" w:cs="Arial"/>
          <w:bCs/>
          <w:lang w:val="en-US"/>
        </w:rPr>
        <w:tab/>
      </w:r>
      <w:r w:rsidR="007A3BEC" w:rsidRPr="0077349D">
        <w:rPr>
          <w:rFonts w:ascii="Arial" w:hAnsi="Arial" w:cs="Arial"/>
          <w:bCs/>
        </w:rPr>
        <w:t xml:space="preserve">Views on </w:t>
      </w:r>
      <w:r w:rsidR="0077349D" w:rsidRPr="0077349D">
        <w:rPr>
          <w:rFonts w:ascii="Arial" w:hAnsi="Arial" w:cs="Arial"/>
          <w:bCs/>
        </w:rPr>
        <w:t>sensing beam selection on the UE side</w:t>
      </w:r>
    </w:p>
    <w:p w14:paraId="3897D438" w14:textId="30AF0CA6"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EB5862">
        <w:rPr>
          <w:rFonts w:ascii="Arial" w:hAnsi="Arial" w:cs="Arial"/>
        </w:rPr>
        <w:t>6</w:t>
      </w:r>
      <w:r w:rsidR="00591C85">
        <w:rPr>
          <w:rFonts w:ascii="Arial" w:hAnsi="Arial" w:cs="Arial"/>
        </w:rPr>
        <w:t>.1</w:t>
      </w:r>
      <w:r w:rsidR="00D60409">
        <w:rPr>
          <w:rFonts w:ascii="Arial" w:hAnsi="Arial" w:cs="Arial"/>
          <w:lang w:val="sv-SE"/>
        </w:rPr>
        <w:t>6</w:t>
      </w:r>
      <w:r w:rsidR="00591C85">
        <w:rPr>
          <w:rFonts w:ascii="Arial" w:hAnsi="Arial" w:cs="Arial"/>
        </w:rPr>
        <w:t>.1</w:t>
      </w:r>
    </w:p>
    <w:p w14:paraId="33B53DEA" w14:textId="77777777"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67157C">
        <w:rPr>
          <w:rFonts w:ascii="Arial" w:hAnsi="Arial" w:cs="Arial"/>
          <w:bCs/>
        </w:rPr>
        <w:t xml:space="preserve">Discussion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430A10A2" w14:textId="3DB26EDF" w:rsidR="00CD45B6" w:rsidRPr="00B71DFF" w:rsidRDefault="00B71DFF" w:rsidP="00B71DFF">
      <w:pPr>
        <w:pStyle w:val="BodyText"/>
        <w:jc w:val="both"/>
        <w:rPr>
          <w:lang w:val="en-US"/>
        </w:rPr>
      </w:pPr>
      <w:r w:rsidRPr="00B71DFF">
        <w:rPr>
          <w:lang w:val="en-US"/>
        </w:rPr>
        <w:t xml:space="preserve">For LBT operation in FR2-2, RAN1 discussed the relationship between the transmission beam and the sensing beam used for LBT </w:t>
      </w:r>
      <w:r w:rsidR="00936B45">
        <w:rPr>
          <w:lang w:val="en-US"/>
        </w:rPr>
        <w:t>and</w:t>
      </w:r>
      <w:r w:rsidR="00FE3F5A">
        <w:rPr>
          <w:lang w:val="en-US"/>
        </w:rPr>
        <w:t xml:space="preserve"> </w:t>
      </w:r>
      <w:r w:rsidR="0063128C" w:rsidRPr="00B71DFF">
        <w:rPr>
          <w:lang w:val="en-US"/>
        </w:rPr>
        <w:t xml:space="preserve">send </w:t>
      </w:r>
      <w:r w:rsidR="00C56142">
        <w:rPr>
          <w:lang w:val="en-US"/>
        </w:rPr>
        <w:t>an</w:t>
      </w:r>
      <w:r w:rsidR="00C56142" w:rsidRPr="00B71DFF">
        <w:rPr>
          <w:lang w:val="en-US"/>
        </w:rPr>
        <w:t xml:space="preserve"> </w:t>
      </w:r>
      <w:r w:rsidR="0063128C" w:rsidRPr="00B71DFF">
        <w:rPr>
          <w:lang w:val="en-US"/>
        </w:rPr>
        <w:t>LS</w:t>
      </w:r>
      <w:r w:rsidRPr="00B71DFF">
        <w:rPr>
          <w:lang w:val="en-US"/>
        </w:rPr>
        <w:t xml:space="preserve"> </w:t>
      </w:r>
      <w:r>
        <w:rPr>
          <w:lang w:val="en-US"/>
        </w:rPr>
        <w:t>[1]</w:t>
      </w:r>
      <w:r w:rsidR="0063128C" w:rsidRPr="00B71DFF">
        <w:rPr>
          <w:lang w:val="en-US"/>
        </w:rPr>
        <w:t xml:space="preserve"> to RAN4 </w:t>
      </w:r>
      <w:r w:rsidR="00C84216" w:rsidRPr="00B71DFF">
        <w:rPr>
          <w:lang w:val="en-US"/>
        </w:rPr>
        <w:t>ask</w:t>
      </w:r>
      <w:r w:rsidR="00C56142">
        <w:rPr>
          <w:lang w:val="en-US"/>
        </w:rPr>
        <w:t>ing</w:t>
      </w:r>
      <w:r w:rsidR="00C84216" w:rsidRPr="00B71DFF">
        <w:rPr>
          <w:lang w:val="en-US"/>
        </w:rPr>
        <w:t xml:space="preserve"> </w:t>
      </w:r>
      <w:r w:rsidR="004721D9">
        <w:rPr>
          <w:lang w:val="en-US"/>
        </w:rPr>
        <w:t>to</w:t>
      </w:r>
      <w:r w:rsidR="004721D9" w:rsidRPr="00B71DFF">
        <w:rPr>
          <w:lang w:val="en-US"/>
        </w:rPr>
        <w:t xml:space="preserve"> </w:t>
      </w:r>
      <w:r w:rsidR="007F7294" w:rsidRPr="007F7294">
        <w:rPr>
          <w:lang w:val="en-US"/>
        </w:rPr>
        <w:t>s</w:t>
      </w:r>
      <w:r w:rsidR="00C84216" w:rsidRPr="00B71DFF">
        <w:rPr>
          <w:lang w:val="en-US"/>
        </w:rPr>
        <w:t>pecify</w:t>
      </w:r>
      <w:r w:rsidR="007F7294">
        <w:rPr>
          <w:lang w:val="en-US"/>
        </w:rPr>
        <w:t xml:space="preserve"> </w:t>
      </w:r>
      <w:r w:rsidR="00C84216" w:rsidRPr="00B71DFF">
        <w:rPr>
          <w:lang w:val="en-US"/>
        </w:rPr>
        <w:t xml:space="preserve">necessary requirement/test procedure to guarantee </w:t>
      </w:r>
      <w:r w:rsidR="004721D9">
        <w:rPr>
          <w:lang w:val="en-US"/>
        </w:rPr>
        <w:t xml:space="preserve">that </w:t>
      </w:r>
      <w:r w:rsidR="00C84216" w:rsidRPr="00B71DFF">
        <w:rPr>
          <w:lang w:val="en-US"/>
        </w:rPr>
        <w:t>sensing beam(s) “covers” the transmission beam(s)</w:t>
      </w:r>
      <w:r w:rsidR="007F7294" w:rsidRPr="007F7294">
        <w:rPr>
          <w:lang w:val="en-US"/>
        </w:rPr>
        <w:t xml:space="preserve"> </w:t>
      </w:r>
      <w:r w:rsidR="007F7294">
        <w:rPr>
          <w:lang w:val="en-US"/>
        </w:rPr>
        <w:t xml:space="preserve">if feasible. In this contribution, we share our thoughts on the feasibility and potential method to verify the </w:t>
      </w:r>
      <w:r w:rsidR="00A27777">
        <w:rPr>
          <w:lang w:val="en-US"/>
        </w:rPr>
        <w:t xml:space="preserve">directional LBT on </w:t>
      </w:r>
      <w:r w:rsidR="004721D9">
        <w:rPr>
          <w:lang w:val="en-US"/>
        </w:rPr>
        <w:t xml:space="preserve">the </w:t>
      </w:r>
      <w:r w:rsidR="00A27777">
        <w:rPr>
          <w:lang w:val="en-US"/>
        </w:rPr>
        <w:t xml:space="preserve">UE side. </w:t>
      </w:r>
    </w:p>
    <w:p w14:paraId="742CEE71" w14:textId="77777777" w:rsidR="00963CB0" w:rsidRPr="00CD45B6" w:rsidRDefault="00963CB0" w:rsidP="00963CB0">
      <w:pPr>
        <w:pBdr>
          <w:bottom w:val="single" w:sz="4" w:space="0" w:color="auto"/>
        </w:pBdr>
        <w:jc w:val="both"/>
        <w:rPr>
          <w:rFonts w:ascii="Arial" w:hAnsi="Arial" w:cs="Arial"/>
        </w:rPr>
      </w:pPr>
    </w:p>
    <w:p w14:paraId="095632B7" w14:textId="6B9C11E3" w:rsidR="00E6762A" w:rsidRPr="00326D9F" w:rsidRDefault="00E6762A" w:rsidP="00E6762A">
      <w:pPr>
        <w:pStyle w:val="BodyText"/>
        <w:rPr>
          <w:highlight w:val="yellow"/>
        </w:rPr>
      </w:pPr>
    </w:p>
    <w:p w14:paraId="5D671A37" w14:textId="6A4EEAC8" w:rsidR="00E6762A" w:rsidRPr="008D70F5" w:rsidRDefault="00D94A63" w:rsidP="00E6762A">
      <w:pPr>
        <w:pStyle w:val="Heading1"/>
        <w:jc w:val="both"/>
      </w:pPr>
      <w:r w:rsidRPr="008D70F5">
        <w:rPr>
          <w:lang w:val="sv-SE"/>
        </w:rPr>
        <w:t xml:space="preserve">Discussion </w:t>
      </w:r>
    </w:p>
    <w:p w14:paraId="2A4DB09D" w14:textId="015444D2" w:rsidR="0018236C" w:rsidRPr="0018236C" w:rsidRDefault="00E6762A" w:rsidP="0018236C">
      <w:pPr>
        <w:pStyle w:val="BodyText"/>
        <w:jc w:val="both"/>
      </w:pPr>
      <w:r w:rsidRPr="0018236C">
        <w:t xml:space="preserve">In </w:t>
      </w:r>
      <w:r w:rsidR="004721D9">
        <w:t xml:space="preserve">the </w:t>
      </w:r>
      <w:r w:rsidR="00470585" w:rsidRPr="0018236C">
        <w:t>incoming LS [</w:t>
      </w:r>
      <w:r w:rsidR="00B71DFF" w:rsidRPr="00B71DFF">
        <w:rPr>
          <w:lang w:val="en-US"/>
        </w:rPr>
        <w:t>1</w:t>
      </w:r>
      <w:r w:rsidR="00470585" w:rsidRPr="0018236C">
        <w:t>],</w:t>
      </w:r>
      <w:r w:rsidR="00162391">
        <w:t xml:space="preserve"> </w:t>
      </w:r>
      <w:r w:rsidR="00571FC9" w:rsidRPr="0018236C">
        <w:t xml:space="preserve">RAN1 discussed the relationship between the transmission beam and the sensing beam used for LBT </w:t>
      </w:r>
      <w:r w:rsidR="007B267D">
        <w:t>f</w:t>
      </w:r>
      <w:r w:rsidR="00571FC9" w:rsidRPr="0018236C">
        <w:t>or LBT operation in FR2-2</w:t>
      </w:r>
      <w:r w:rsidR="0018236C" w:rsidRPr="0018236C">
        <w:t xml:space="preserve">, where the following agreements have been reached: </w:t>
      </w:r>
    </w:p>
    <w:p w14:paraId="3CFD3782" w14:textId="47C34C2A" w:rsidR="0018236C" w:rsidRPr="0018236C" w:rsidRDefault="0018236C" w:rsidP="00FA6C21">
      <w:pPr>
        <w:pStyle w:val="BodyText"/>
        <w:ind w:left="360"/>
        <w:jc w:val="both"/>
      </w:pPr>
      <w:r w:rsidRPr="0018236C">
        <w:t>For the following situations</w:t>
      </w:r>
    </w:p>
    <w:p w14:paraId="59473D42" w14:textId="77777777" w:rsidR="0018236C" w:rsidRPr="0018236C" w:rsidRDefault="0018236C" w:rsidP="00FA6C21">
      <w:pPr>
        <w:pStyle w:val="BodyText"/>
        <w:numPr>
          <w:ilvl w:val="0"/>
          <w:numId w:val="29"/>
        </w:numPr>
        <w:ind w:left="1080"/>
        <w:jc w:val="both"/>
      </w:pPr>
      <w:r w:rsidRPr="0018236C">
        <w:t xml:space="preserve">Selecting sensing beam at the </w:t>
      </w:r>
      <w:proofErr w:type="spellStart"/>
      <w:r w:rsidRPr="0018236C">
        <w:t>gNB</w:t>
      </w:r>
      <w:proofErr w:type="spellEnd"/>
      <w:r w:rsidRPr="0018236C">
        <w:t xml:space="preserve"> </w:t>
      </w:r>
    </w:p>
    <w:p w14:paraId="1D05EE50" w14:textId="77777777" w:rsidR="0018236C" w:rsidRPr="0018236C" w:rsidRDefault="0018236C" w:rsidP="00FA6C21">
      <w:pPr>
        <w:pStyle w:val="BodyText"/>
        <w:numPr>
          <w:ilvl w:val="0"/>
          <w:numId w:val="29"/>
        </w:numPr>
        <w:ind w:left="1080"/>
        <w:jc w:val="both"/>
      </w:pPr>
      <w:r w:rsidRPr="0018236C">
        <w:t xml:space="preserve">Selecting sensing beam at the UE when UE does not indicate a capability for beam correspondence with </w:t>
      </w:r>
      <w:proofErr w:type="spellStart"/>
      <w:r w:rsidRPr="0018236C">
        <w:t>beamCorrespondenceWithoutUL-BeamSweeping</w:t>
      </w:r>
      <w:proofErr w:type="spellEnd"/>
      <w:r w:rsidRPr="0018236C">
        <w:t xml:space="preserve"> </w:t>
      </w:r>
      <w:proofErr w:type="gramStart"/>
      <w:r w:rsidRPr="0018236C">
        <w:t>={</w:t>
      </w:r>
      <w:proofErr w:type="gramEnd"/>
      <w:r w:rsidRPr="0018236C">
        <w:t>1}</w:t>
      </w:r>
    </w:p>
    <w:p w14:paraId="079424AB" w14:textId="18E0DDAB" w:rsidR="0018236C" w:rsidRPr="0018236C" w:rsidRDefault="0018236C" w:rsidP="00FA6C21">
      <w:pPr>
        <w:pStyle w:val="BodyText"/>
        <w:numPr>
          <w:ilvl w:val="0"/>
          <w:numId w:val="29"/>
        </w:numPr>
        <w:ind w:left="1080"/>
        <w:jc w:val="both"/>
      </w:pPr>
      <w:r w:rsidRPr="0018236C">
        <w:t xml:space="preserve">Selecting sensing beam at the UE when UE uses a different beam for sensing than the beam used for transmission </w:t>
      </w:r>
    </w:p>
    <w:p w14:paraId="59A2E2F1" w14:textId="49C60F20" w:rsidR="0018236C" w:rsidRPr="007A31E9" w:rsidRDefault="0018236C" w:rsidP="007A31E9">
      <w:pPr>
        <w:pStyle w:val="BodyText"/>
        <w:ind w:left="360"/>
        <w:jc w:val="both"/>
      </w:pPr>
      <w:r w:rsidRPr="0018236C">
        <w:t xml:space="preserve">Specify necessary requirement/test procedure to guarantee </w:t>
      </w:r>
      <w:r w:rsidR="007B267D">
        <w:t xml:space="preserve">that </w:t>
      </w:r>
      <w:r w:rsidRPr="0018236C">
        <w:t>sensing beam(s) “covers” the transmission beam(s)</w:t>
      </w:r>
    </w:p>
    <w:p w14:paraId="5B42AF27" w14:textId="454F30E6" w:rsidR="00695223" w:rsidRDefault="00B81CF6" w:rsidP="00C8485D">
      <w:pPr>
        <w:pStyle w:val="BodyText"/>
        <w:jc w:val="both"/>
      </w:pPr>
      <w:r>
        <w:t xml:space="preserve">For </w:t>
      </w:r>
      <w:proofErr w:type="gramStart"/>
      <w:r>
        <w:t>beam</w:t>
      </w:r>
      <w:r w:rsidR="00E437C9">
        <w:t>-</w:t>
      </w:r>
      <w:r>
        <w:t>based</w:t>
      </w:r>
      <w:proofErr w:type="gramEnd"/>
      <w:r w:rsidR="00C8485D" w:rsidRPr="00C8485D">
        <w:t xml:space="preserve"> LBT </w:t>
      </w:r>
      <w:r w:rsidR="00C8485D">
        <w:t>operation</w:t>
      </w:r>
      <w:r>
        <w:t xml:space="preserve">, </w:t>
      </w:r>
      <w:r w:rsidR="00CD1C66">
        <w:t>it</w:t>
      </w:r>
      <w:r>
        <w:t xml:space="preserve"> should </w:t>
      </w:r>
      <w:r w:rsidR="007B267D">
        <w:t xml:space="preserve">be </w:t>
      </w:r>
      <w:r>
        <w:t>ensure</w:t>
      </w:r>
      <w:r w:rsidR="007B267D">
        <w:t>d</w:t>
      </w:r>
      <w:r>
        <w:t xml:space="preserve"> that </w:t>
      </w:r>
      <w:r w:rsidR="00CD1C66">
        <w:t>the UE</w:t>
      </w:r>
      <w:r>
        <w:t xml:space="preserve"> can sense </w:t>
      </w:r>
      <w:r w:rsidR="00C714AE">
        <w:t xml:space="preserve">over a certain </w:t>
      </w:r>
      <w:r w:rsidR="00CD1C66">
        <w:t xml:space="preserve">range of solid angles </w:t>
      </w:r>
      <w:r w:rsidR="00C714AE">
        <w:t xml:space="preserve">where it </w:t>
      </w:r>
      <w:r w:rsidR="00195342" w:rsidRPr="00195342">
        <w:rPr>
          <w:lang w:val="en-US"/>
        </w:rPr>
        <w:t>(</w:t>
      </w:r>
      <w:r w:rsidR="00CD1C66">
        <w:t>at least</w:t>
      </w:r>
      <w:r w:rsidR="00195342" w:rsidRPr="00195342">
        <w:rPr>
          <w:lang w:val="en-US"/>
        </w:rPr>
        <w:t>)</w:t>
      </w:r>
      <w:r w:rsidR="00CD1C66">
        <w:t xml:space="preserve"> e</w:t>
      </w:r>
      <w:r w:rsidR="00C714AE">
        <w:t xml:space="preserve">quals or </w:t>
      </w:r>
      <w:r w:rsidR="00CD1C66">
        <w:t xml:space="preserve">even </w:t>
      </w:r>
      <w:r w:rsidR="00C714AE">
        <w:t>cover</w:t>
      </w:r>
      <w:r w:rsidR="00CD1C66">
        <w:t>s</w:t>
      </w:r>
      <w:r w:rsidR="00C714AE">
        <w:t xml:space="preserve"> the </w:t>
      </w:r>
      <w:r w:rsidR="00CD1C66">
        <w:t xml:space="preserve">solid </w:t>
      </w:r>
      <w:r w:rsidR="008807BC">
        <w:t xml:space="preserve">angles of the </w:t>
      </w:r>
      <w:r w:rsidR="00C714AE">
        <w:t>transmission beam</w:t>
      </w:r>
      <w:r w:rsidR="0010278A">
        <w:t xml:space="preserve"> so that the </w:t>
      </w:r>
      <w:r w:rsidR="004F01DB">
        <w:t xml:space="preserve">UE will not </w:t>
      </w:r>
      <w:r w:rsidR="001E529C">
        <w:t>transmit</w:t>
      </w:r>
      <w:r w:rsidR="004F01DB">
        <w:t xml:space="preserve"> towards unsensed directions</w:t>
      </w:r>
      <w:r w:rsidR="007B267D">
        <w:rPr>
          <w:lang w:val="en-US"/>
        </w:rPr>
        <w:t xml:space="preserve"> and</w:t>
      </w:r>
      <w:r w:rsidR="00325FEA">
        <w:rPr>
          <w:lang w:val="en-US"/>
        </w:rPr>
        <w:t xml:space="preserve"> prevent the potential</w:t>
      </w:r>
      <w:r w:rsidR="004F01DB">
        <w:t xml:space="preserve"> </w:t>
      </w:r>
      <w:r w:rsidR="007B267D">
        <w:rPr>
          <w:lang w:val="en-US"/>
        </w:rPr>
        <w:t>contamination</w:t>
      </w:r>
      <w:r w:rsidR="00325FEA">
        <w:rPr>
          <w:lang w:val="en-US"/>
        </w:rPr>
        <w:t xml:space="preserve"> on</w:t>
      </w:r>
      <w:r w:rsidR="004F01DB">
        <w:t xml:space="preserve"> the surrounding communications. </w:t>
      </w:r>
    </w:p>
    <w:p w14:paraId="36AD8920" w14:textId="341C5DE4" w:rsidR="008D70F5" w:rsidRPr="008D70F5" w:rsidRDefault="008D70F5" w:rsidP="008D70F5">
      <w:pPr>
        <w:pStyle w:val="Heading2"/>
        <w:rPr>
          <w:lang w:val="sv-SE"/>
        </w:rPr>
      </w:pPr>
      <w:r w:rsidRPr="008D70F5">
        <w:rPr>
          <w:lang w:val="sv-SE"/>
        </w:rPr>
        <w:t>UE with beamCorrespondenceWithoutUL-BeamSweeping</w:t>
      </w:r>
    </w:p>
    <w:p w14:paraId="100C1760" w14:textId="278A2CD4" w:rsidR="00BB6EBB" w:rsidRDefault="0010278A" w:rsidP="00C8485D">
      <w:pPr>
        <w:pStyle w:val="BodyText"/>
        <w:jc w:val="both"/>
      </w:pPr>
      <w:r>
        <w:t xml:space="preserve">A </w:t>
      </w:r>
      <w:r w:rsidR="004F01DB">
        <w:t>device</w:t>
      </w:r>
      <w:r>
        <w:t xml:space="preserve"> that can use </w:t>
      </w:r>
      <w:r w:rsidR="00E437C9">
        <w:t xml:space="preserve">an </w:t>
      </w:r>
      <w:r>
        <w:t xml:space="preserve">identical beam for UL and DL </w:t>
      </w:r>
      <w:r w:rsidR="007A31E9">
        <w:t>shall</w:t>
      </w:r>
      <w:r>
        <w:t xml:space="preserve"> </w:t>
      </w:r>
      <w:r w:rsidR="008807BC">
        <w:t>naturally</w:t>
      </w:r>
      <w:r>
        <w:t xml:space="preserve"> </w:t>
      </w:r>
      <w:r w:rsidR="007A31E9">
        <w:t xml:space="preserve">ensure that the sense beam </w:t>
      </w:r>
      <w:r w:rsidR="00380C10">
        <w:t xml:space="preserve">equals the transmission beam. However, the current beam correspondence requirement </w:t>
      </w:r>
      <w:r w:rsidR="00992B0E">
        <w:t>only ensures the UE can transmit sufficiently high EIRP towards the desired direction</w:t>
      </w:r>
      <w:r w:rsidR="00B711C5">
        <w:t>,</w:t>
      </w:r>
      <w:r w:rsidR="00992B0E">
        <w:t xml:space="preserve"> but has no control on which Rx beam that UE would use</w:t>
      </w:r>
      <w:r w:rsidR="009D192C">
        <w:t xml:space="preserve">, regardless if </w:t>
      </w:r>
      <w:proofErr w:type="spellStart"/>
      <w:r w:rsidR="009D192C" w:rsidRPr="0018236C">
        <w:t>beamCorrespondenceWithoutUL-BeamSweeping</w:t>
      </w:r>
      <w:proofErr w:type="spellEnd"/>
      <w:r w:rsidR="004C7309" w:rsidRPr="004C7309">
        <w:rPr>
          <w:lang w:val="en-US"/>
        </w:rPr>
        <w:t xml:space="preserve"> </w:t>
      </w:r>
      <w:proofErr w:type="gramStart"/>
      <w:r w:rsidR="009D192C" w:rsidRPr="0018236C">
        <w:t>={</w:t>
      </w:r>
      <w:proofErr w:type="gramEnd"/>
      <w:r w:rsidR="009D192C" w:rsidRPr="0018236C">
        <w:t>1}</w:t>
      </w:r>
      <w:r w:rsidR="009D192C">
        <w:t xml:space="preserve"> or </w:t>
      </w:r>
      <w:r w:rsidR="009D192C" w:rsidRPr="0018236C">
        <w:t>{</w:t>
      </w:r>
      <w:r w:rsidR="009D192C">
        <w:t>0</w:t>
      </w:r>
      <w:r w:rsidR="009D192C" w:rsidRPr="0018236C">
        <w:t>}</w:t>
      </w:r>
      <w:r w:rsidR="009D192C">
        <w:t xml:space="preserve">. </w:t>
      </w:r>
      <w:r w:rsidR="00E554BD">
        <w:t xml:space="preserve">Therefore, </w:t>
      </w:r>
      <w:r w:rsidR="00E37F96">
        <w:t xml:space="preserve">it is questionable if </w:t>
      </w:r>
      <w:r w:rsidR="009D192C">
        <w:t xml:space="preserve">current </w:t>
      </w:r>
      <w:proofErr w:type="spellStart"/>
      <w:r w:rsidR="00222AB5" w:rsidRPr="0018236C">
        <w:t>beamCorrespondenceWithoutUL-BeamSweeping</w:t>
      </w:r>
      <w:proofErr w:type="spellEnd"/>
      <w:r w:rsidR="00222AB5" w:rsidRPr="0018236C">
        <w:t xml:space="preserve"> </w:t>
      </w:r>
      <w:proofErr w:type="gramStart"/>
      <w:r w:rsidR="00222AB5" w:rsidRPr="0018236C">
        <w:t>={</w:t>
      </w:r>
      <w:proofErr w:type="gramEnd"/>
      <w:r w:rsidR="00222AB5" w:rsidRPr="0018236C">
        <w:t>1}</w:t>
      </w:r>
      <w:r w:rsidR="00222AB5">
        <w:t xml:space="preserve"> capability would be sufficient to ensure </w:t>
      </w:r>
      <w:r w:rsidR="00B711C5">
        <w:t xml:space="preserve">that </w:t>
      </w:r>
      <w:r w:rsidR="00222AB5">
        <w:t xml:space="preserve">the UE can use the same </w:t>
      </w:r>
      <w:r w:rsidR="00BB6EBB">
        <w:t xml:space="preserve">beam for sensing and transmission. </w:t>
      </w:r>
    </w:p>
    <w:p w14:paraId="11F3C18B" w14:textId="7AE67F47" w:rsidR="00695223" w:rsidRPr="00695223" w:rsidRDefault="00695223" w:rsidP="00C8485D">
      <w:pPr>
        <w:pStyle w:val="BodyText"/>
        <w:jc w:val="both"/>
        <w:rPr>
          <w:b/>
          <w:bCs/>
        </w:rPr>
      </w:pPr>
      <w:r w:rsidRPr="00695223">
        <w:rPr>
          <w:b/>
          <w:bCs/>
        </w:rPr>
        <w:t xml:space="preserve">Observation </w:t>
      </w:r>
      <w:r w:rsidR="00FB09DB" w:rsidRPr="00FB09DB">
        <w:rPr>
          <w:b/>
          <w:bCs/>
          <w:lang w:val="en-US"/>
        </w:rPr>
        <w:t>1</w:t>
      </w:r>
      <w:r w:rsidRPr="00695223">
        <w:rPr>
          <w:b/>
          <w:bCs/>
        </w:rPr>
        <w:t xml:space="preserve">: the existing beam correspondence test can </w:t>
      </w:r>
      <w:r>
        <w:rPr>
          <w:b/>
          <w:bCs/>
        </w:rPr>
        <w:t xml:space="preserve">not </w:t>
      </w:r>
      <w:r w:rsidRPr="00695223">
        <w:rPr>
          <w:b/>
          <w:bCs/>
        </w:rPr>
        <w:t>verify if the UE use</w:t>
      </w:r>
      <w:r w:rsidR="00E437C9">
        <w:rPr>
          <w:b/>
          <w:bCs/>
        </w:rPr>
        <w:t>s</w:t>
      </w:r>
      <w:r w:rsidRPr="00695223">
        <w:rPr>
          <w:b/>
          <w:bCs/>
        </w:rPr>
        <w:t xml:space="preserve"> the same beam for sensing and transmission</w:t>
      </w:r>
      <w:r w:rsidR="00B711C5">
        <w:rPr>
          <w:b/>
          <w:bCs/>
        </w:rPr>
        <w:t>,</w:t>
      </w:r>
      <w:r w:rsidRPr="00695223">
        <w:rPr>
          <w:b/>
          <w:bCs/>
        </w:rPr>
        <w:t xml:space="preserve"> regardless </w:t>
      </w:r>
      <w:r w:rsidR="008D70F5">
        <w:rPr>
          <w:b/>
          <w:bCs/>
        </w:rPr>
        <w:t xml:space="preserve">of </w:t>
      </w:r>
      <w:r w:rsidRPr="00695223">
        <w:rPr>
          <w:b/>
          <w:bCs/>
        </w:rPr>
        <w:t xml:space="preserve">the beam correspondence capability. </w:t>
      </w:r>
    </w:p>
    <w:p w14:paraId="5EC7F312" w14:textId="4399B123" w:rsidR="00B73DBD" w:rsidRDefault="00B73DBD" w:rsidP="00C8485D">
      <w:pPr>
        <w:pStyle w:val="BodyText"/>
        <w:jc w:val="both"/>
      </w:pPr>
      <w:r>
        <w:t>In [</w:t>
      </w:r>
      <w:r w:rsidR="00B71DFF" w:rsidRPr="00FB09DB">
        <w:rPr>
          <w:lang w:val="en-US"/>
        </w:rPr>
        <w:t>2</w:t>
      </w:r>
      <w:r>
        <w:t xml:space="preserve">], a different beam correspondence test approach </w:t>
      </w:r>
      <w:r w:rsidR="00936B45">
        <w:t>was proposed to examine the Tx and Rx beams' similarity</w:t>
      </w:r>
      <w:r w:rsidR="00D228EE">
        <w:t>. In this sense, th</w:t>
      </w:r>
      <w:r w:rsidR="00B711C5">
        <w:t>e</w:t>
      </w:r>
      <w:r w:rsidR="00D228EE">
        <w:t xml:space="preserve"> method </w:t>
      </w:r>
      <w:r w:rsidR="00B711C5">
        <w:t xml:space="preserve">proposed in </w:t>
      </w:r>
      <w:r w:rsidR="00B711C5">
        <w:fldChar w:fldCharType="begin"/>
      </w:r>
      <w:r w:rsidR="00B711C5">
        <w:instrText xml:space="preserve"> REF _Ref92620913 \r \h </w:instrText>
      </w:r>
      <w:r w:rsidR="00B711C5">
        <w:fldChar w:fldCharType="separate"/>
      </w:r>
      <w:r w:rsidR="00B711C5">
        <w:t>[2]</w:t>
      </w:r>
      <w:r w:rsidR="00B711C5">
        <w:fldChar w:fldCharType="end"/>
      </w:r>
      <w:r w:rsidR="00B711C5">
        <w:t xml:space="preserve"> </w:t>
      </w:r>
      <w:r w:rsidR="00D228EE">
        <w:t xml:space="preserve">seems more </w:t>
      </w:r>
      <w:r w:rsidR="00B711C5">
        <w:t>appropriate</w:t>
      </w:r>
      <w:r w:rsidR="00992399">
        <w:t xml:space="preserve"> </w:t>
      </w:r>
      <w:r w:rsidR="00D228EE">
        <w:t>to ensure the sensing beam will not misalign the transmission beam</w:t>
      </w:r>
      <w:r w:rsidR="00031276">
        <w:t xml:space="preserve">. </w:t>
      </w:r>
    </w:p>
    <w:p w14:paraId="5D930B3A" w14:textId="08CE44A8" w:rsidR="008D70F5" w:rsidRPr="008D70F5" w:rsidRDefault="008D70F5" w:rsidP="008D70F5">
      <w:pPr>
        <w:pStyle w:val="Heading2"/>
        <w:rPr>
          <w:lang w:val="sv-SE"/>
        </w:rPr>
      </w:pPr>
      <w:r w:rsidRPr="008D70F5">
        <w:rPr>
          <w:lang w:val="sv-SE"/>
        </w:rPr>
        <w:t>UE with</w:t>
      </w:r>
      <w:r w:rsidR="0017136E">
        <w:rPr>
          <w:lang w:val="sv-SE"/>
        </w:rPr>
        <w:t>out</w:t>
      </w:r>
      <w:r w:rsidRPr="008D70F5">
        <w:rPr>
          <w:lang w:val="sv-SE"/>
        </w:rPr>
        <w:t xml:space="preserve"> beamCorrespondenceWithoutUL-BeamSweeping</w:t>
      </w:r>
    </w:p>
    <w:p w14:paraId="41904B5E" w14:textId="46603586" w:rsidR="001019B3" w:rsidRDefault="005A18EF" w:rsidP="00C8485D">
      <w:pPr>
        <w:pStyle w:val="BodyText"/>
        <w:jc w:val="both"/>
      </w:pPr>
      <w:r w:rsidRPr="005A18EF">
        <w:rPr>
          <w:lang w:val="en-US"/>
        </w:rPr>
        <w:t>Fo</w:t>
      </w:r>
      <w:r>
        <w:rPr>
          <w:lang w:val="en-US"/>
        </w:rPr>
        <w:t>r</w:t>
      </w:r>
      <w:r w:rsidRPr="005A18EF">
        <w:t xml:space="preserve"> </w:t>
      </w:r>
      <w:r w:rsidR="00992399">
        <w:t xml:space="preserve">a </w:t>
      </w:r>
      <w:r w:rsidRPr="0018236C">
        <w:t>UE</w:t>
      </w:r>
      <w:r w:rsidR="00992399">
        <w:t xml:space="preserve"> which</w:t>
      </w:r>
      <w:r w:rsidRPr="0018236C">
        <w:t xml:space="preserve"> does not indicate a capability for beam correspondence with </w:t>
      </w:r>
      <w:proofErr w:type="spellStart"/>
      <w:r w:rsidRPr="0018236C">
        <w:t>beamCorrespondenceWithoutUL-BeamSweeping</w:t>
      </w:r>
      <w:proofErr w:type="spellEnd"/>
      <w:r w:rsidRPr="0018236C">
        <w:t xml:space="preserve"> </w:t>
      </w:r>
      <w:proofErr w:type="gramStart"/>
      <w:r w:rsidRPr="0018236C">
        <w:t>={</w:t>
      </w:r>
      <w:proofErr w:type="gramEnd"/>
      <w:r w:rsidRPr="0018236C">
        <w:t>1}</w:t>
      </w:r>
      <w:r w:rsidR="007A3BEC" w:rsidRPr="007A3BEC">
        <w:rPr>
          <w:lang w:val="en-US"/>
        </w:rPr>
        <w:t xml:space="preserve">, </w:t>
      </w:r>
      <w:r w:rsidR="00992399">
        <w:rPr>
          <w:lang w:val="en-US"/>
        </w:rPr>
        <w:t>g</w:t>
      </w:r>
      <w:proofErr w:type="spellStart"/>
      <w:r w:rsidR="005A348A" w:rsidRPr="0018236C">
        <w:t>uarant</w:t>
      </w:r>
      <w:r w:rsidR="00936B45">
        <w:t>ee</w:t>
      </w:r>
      <w:r w:rsidR="007A3BEC" w:rsidRPr="007A3BEC">
        <w:rPr>
          <w:lang w:val="en-US"/>
        </w:rPr>
        <w:t>i</w:t>
      </w:r>
      <w:r w:rsidR="007A3BEC">
        <w:rPr>
          <w:lang w:val="en-US"/>
        </w:rPr>
        <w:t>ng</w:t>
      </w:r>
      <w:proofErr w:type="spellEnd"/>
      <w:r w:rsidR="007A3BEC">
        <w:rPr>
          <w:lang w:val="en-US"/>
        </w:rPr>
        <w:t xml:space="preserve"> </w:t>
      </w:r>
      <w:r w:rsidR="00BF6E9B">
        <w:rPr>
          <w:lang w:val="en-US"/>
        </w:rPr>
        <w:t xml:space="preserve">that </w:t>
      </w:r>
      <w:r w:rsidR="007A3BEC">
        <w:rPr>
          <w:lang w:val="en-US"/>
        </w:rPr>
        <w:t>the</w:t>
      </w:r>
      <w:r w:rsidR="005A348A" w:rsidRPr="0018236C">
        <w:t xml:space="preserve"> sensing beam(s) “covers” the transmission beam(s)</w:t>
      </w:r>
      <w:r w:rsidR="007A3BEC" w:rsidRPr="007A3BEC">
        <w:rPr>
          <w:lang w:val="en-US"/>
        </w:rPr>
        <w:t xml:space="preserve"> </w:t>
      </w:r>
      <w:r w:rsidR="007A3BEC">
        <w:rPr>
          <w:lang w:val="en-US"/>
        </w:rPr>
        <w:t>is also challenging</w:t>
      </w:r>
      <w:r w:rsidR="005A348A">
        <w:t xml:space="preserve">. </w:t>
      </w:r>
      <w:r w:rsidR="00BA6F14">
        <w:t>Multiple</w:t>
      </w:r>
      <w:r w:rsidR="005A348A">
        <w:t xml:space="preserve"> candidate solution</w:t>
      </w:r>
      <w:r w:rsidR="00BA6F14">
        <w:t>s</w:t>
      </w:r>
      <w:r w:rsidR="00BF6E9B">
        <w:t>,</w:t>
      </w:r>
      <w:r w:rsidR="005A348A">
        <w:t xml:space="preserve"> </w:t>
      </w:r>
      <w:r w:rsidR="00155800">
        <w:t>listed in RAN1 LS</w:t>
      </w:r>
      <w:r w:rsidR="00BF6E9B">
        <w:t>,</w:t>
      </w:r>
      <w:r w:rsidR="00155800">
        <w:t xml:space="preserve"> </w:t>
      </w:r>
      <w:r w:rsidR="0077349D" w:rsidRPr="0077349D">
        <w:rPr>
          <w:lang w:val="en-US"/>
        </w:rPr>
        <w:t>me</w:t>
      </w:r>
      <w:r w:rsidR="0077349D">
        <w:rPr>
          <w:lang w:val="en-US"/>
        </w:rPr>
        <w:t>ntioned the concept of using</w:t>
      </w:r>
      <w:r w:rsidR="00BA6F14">
        <w:t xml:space="preserve"> </w:t>
      </w:r>
      <w:r w:rsidR="00826876" w:rsidRPr="00826876">
        <w:rPr>
          <w:lang w:val="en-US"/>
        </w:rPr>
        <w:t xml:space="preserve">X </w:t>
      </w:r>
      <w:r w:rsidR="006077CC">
        <w:t>dB beamwidth</w:t>
      </w:r>
      <w:r w:rsidR="00826876" w:rsidRPr="00826876">
        <w:rPr>
          <w:lang w:val="en-US"/>
        </w:rPr>
        <w:t xml:space="preserve"> </w:t>
      </w:r>
      <w:r w:rsidR="00826876">
        <w:rPr>
          <w:lang w:val="en-US"/>
        </w:rPr>
        <w:t>(e.g.</w:t>
      </w:r>
      <w:r w:rsidR="00936B45">
        <w:rPr>
          <w:lang w:val="en-US"/>
        </w:rPr>
        <w:t>,</w:t>
      </w:r>
      <w:r w:rsidR="00826876">
        <w:rPr>
          <w:lang w:val="en-US"/>
        </w:rPr>
        <w:t xml:space="preserve"> 3 dB beamwidth)</w:t>
      </w:r>
      <w:r w:rsidR="006077CC">
        <w:t xml:space="preserve">. However, </w:t>
      </w:r>
      <w:r w:rsidR="00BF6E9B">
        <w:t xml:space="preserve">a </w:t>
      </w:r>
      <w:r w:rsidR="00445B0E">
        <w:t xml:space="preserve">few issues </w:t>
      </w:r>
      <w:r w:rsidR="006077CC">
        <w:t xml:space="preserve">may show up </w:t>
      </w:r>
      <w:r w:rsidR="00BF6E9B">
        <w:t xml:space="preserve">when </w:t>
      </w:r>
      <w:r w:rsidR="006077CC">
        <w:t>adopt</w:t>
      </w:r>
      <w:r w:rsidR="00BF6E9B">
        <w:t>ing</w:t>
      </w:r>
      <w:r w:rsidR="006077CC">
        <w:t xml:space="preserve"> the concept of beam width into RF requirement</w:t>
      </w:r>
      <w:r w:rsidR="00445B0E">
        <w:t>s</w:t>
      </w:r>
      <w:r w:rsidR="006077CC">
        <w:t xml:space="preserve">. </w:t>
      </w:r>
    </w:p>
    <w:p w14:paraId="68D4E074" w14:textId="73F22D58" w:rsidR="001019B3" w:rsidRDefault="0067460F" w:rsidP="00E625F6">
      <w:pPr>
        <w:pStyle w:val="BodyText"/>
        <w:numPr>
          <w:ilvl w:val="0"/>
          <w:numId w:val="32"/>
        </w:numPr>
        <w:jc w:val="both"/>
      </w:pPr>
      <w:r>
        <w:lastRenderedPageBreak/>
        <w:t>UE beam</w:t>
      </w:r>
      <w:r w:rsidR="00445B0E">
        <w:t xml:space="preserve"> patterns</w:t>
      </w:r>
      <w:r>
        <w:t xml:space="preserve"> are typically highly irregular</w:t>
      </w:r>
      <w:r w:rsidR="007E64BA">
        <w:t xml:space="preserve"> and rippled, </w:t>
      </w:r>
      <w:r w:rsidR="00445B0E">
        <w:t>making</w:t>
      </w:r>
      <w:r w:rsidR="00627E8D">
        <w:t xml:space="preserve"> it hard to define the </w:t>
      </w:r>
      <w:r w:rsidR="00826876" w:rsidRPr="00826876">
        <w:rPr>
          <w:lang w:val="en-US"/>
        </w:rPr>
        <w:t>X</w:t>
      </w:r>
      <w:r w:rsidR="007E64BA">
        <w:t xml:space="preserve"> dB beamwidth in practic</w:t>
      </w:r>
      <w:r w:rsidR="00445B0E">
        <w:t>e</w:t>
      </w:r>
      <w:r w:rsidR="007E64BA">
        <w:t xml:space="preserve">. Strong lobes may still exist outside the </w:t>
      </w:r>
      <w:r w:rsidR="00826876" w:rsidRPr="00826876">
        <w:rPr>
          <w:lang w:val="en-US"/>
        </w:rPr>
        <w:t xml:space="preserve">X </w:t>
      </w:r>
      <w:r w:rsidR="007E64BA">
        <w:t xml:space="preserve">dB beamwidth. </w:t>
      </w:r>
    </w:p>
    <w:p w14:paraId="153DCBF3" w14:textId="3B520E8C" w:rsidR="0053672B" w:rsidRDefault="005A18EF" w:rsidP="00E625F6">
      <w:pPr>
        <w:pStyle w:val="BodyText"/>
        <w:numPr>
          <w:ilvl w:val="0"/>
          <w:numId w:val="32"/>
        </w:numPr>
        <w:jc w:val="both"/>
      </w:pPr>
      <w:r>
        <w:rPr>
          <w:lang w:val="en-US"/>
        </w:rPr>
        <w:t>the</w:t>
      </w:r>
      <w:r w:rsidR="007E64BA">
        <w:t xml:space="preserve"> </w:t>
      </w:r>
      <w:r w:rsidR="00826876" w:rsidRPr="00826876">
        <w:rPr>
          <w:lang w:val="en-US"/>
        </w:rPr>
        <w:t xml:space="preserve">X </w:t>
      </w:r>
      <w:r w:rsidR="007E64BA">
        <w:t xml:space="preserve">dB beamwidth </w:t>
      </w:r>
      <w:r w:rsidR="00445B0E">
        <w:t xml:space="preserve">is </w:t>
      </w:r>
      <w:r w:rsidR="007E64BA">
        <w:t xml:space="preserve">usually only </w:t>
      </w:r>
      <w:r w:rsidR="00FB74FC">
        <w:t>define</w:t>
      </w:r>
      <w:r w:rsidR="00445B0E">
        <w:t>d</w:t>
      </w:r>
      <w:r w:rsidR="007E64BA">
        <w:t xml:space="preserve"> on a 2D cut</w:t>
      </w:r>
      <w:r w:rsidR="00557218">
        <w:t>. It is unclear how to define such a beamwidth over a 3D radiation pattern</w:t>
      </w:r>
      <w:r w:rsidR="00174AF7">
        <w:t xml:space="preserve">, especially </w:t>
      </w:r>
      <w:r w:rsidR="00445B0E">
        <w:t xml:space="preserve">since </w:t>
      </w:r>
      <w:r w:rsidR="00174AF7">
        <w:t xml:space="preserve">the beam may not align with any reference plane due to beam steering. </w:t>
      </w:r>
    </w:p>
    <w:p w14:paraId="4A98F590" w14:textId="241BC3C3" w:rsidR="00695223" w:rsidRPr="00693A46" w:rsidRDefault="00695223" w:rsidP="00C8485D">
      <w:pPr>
        <w:pStyle w:val="BodyText"/>
        <w:jc w:val="both"/>
        <w:rPr>
          <w:b/>
          <w:bCs/>
        </w:rPr>
      </w:pPr>
      <w:r w:rsidRPr="00693A46">
        <w:rPr>
          <w:b/>
          <w:bCs/>
        </w:rPr>
        <w:t xml:space="preserve">Observation </w:t>
      </w:r>
      <w:r w:rsidR="00FB09DB" w:rsidRPr="00FB09DB">
        <w:rPr>
          <w:b/>
          <w:bCs/>
          <w:lang w:val="en-US"/>
        </w:rPr>
        <w:t>2</w:t>
      </w:r>
      <w:r w:rsidRPr="00693A46">
        <w:rPr>
          <w:b/>
          <w:bCs/>
        </w:rPr>
        <w:t>: it is hard to define and adopt</w:t>
      </w:r>
      <w:r w:rsidR="005A18EF" w:rsidRPr="005A18EF">
        <w:rPr>
          <w:b/>
          <w:bCs/>
          <w:lang w:val="en-US"/>
        </w:rPr>
        <w:t xml:space="preserve"> </w:t>
      </w:r>
      <w:r w:rsidR="005A18EF">
        <w:rPr>
          <w:b/>
          <w:bCs/>
          <w:lang w:val="en-US"/>
        </w:rPr>
        <w:t>the</w:t>
      </w:r>
      <w:r w:rsidRPr="00693A46">
        <w:rPr>
          <w:b/>
          <w:bCs/>
        </w:rPr>
        <w:t xml:space="preserve"> </w:t>
      </w:r>
      <w:r w:rsidR="00826876" w:rsidRPr="00826876">
        <w:rPr>
          <w:b/>
          <w:bCs/>
          <w:lang w:val="en-US"/>
        </w:rPr>
        <w:t>X</w:t>
      </w:r>
      <w:r w:rsidR="00445B0E">
        <w:rPr>
          <w:b/>
          <w:bCs/>
        </w:rPr>
        <w:t xml:space="preserve"> dB beamwidth method in practical </w:t>
      </w:r>
      <w:r w:rsidR="00FB09DB" w:rsidRPr="00FB09DB">
        <w:rPr>
          <w:b/>
          <w:bCs/>
          <w:lang w:val="en-US"/>
        </w:rPr>
        <w:t>U</w:t>
      </w:r>
      <w:r w:rsidR="00FB09DB">
        <w:rPr>
          <w:b/>
          <w:bCs/>
          <w:lang w:val="en-US"/>
        </w:rPr>
        <w:t xml:space="preserve">E </w:t>
      </w:r>
      <w:r w:rsidR="00445B0E">
        <w:rPr>
          <w:b/>
          <w:bCs/>
        </w:rPr>
        <w:t>RF requirements and tests</w:t>
      </w:r>
      <w:r w:rsidR="00693A46" w:rsidRPr="00693A46">
        <w:rPr>
          <w:b/>
          <w:bCs/>
        </w:rPr>
        <w:t xml:space="preserve">. </w:t>
      </w:r>
    </w:p>
    <w:p w14:paraId="2804B617" w14:textId="70945B0C" w:rsidR="00E6762A" w:rsidRDefault="0053672B" w:rsidP="00C8485D">
      <w:pPr>
        <w:pStyle w:val="BodyText"/>
        <w:jc w:val="both"/>
      </w:pPr>
      <w:r>
        <w:t>On the other hand,</w:t>
      </w:r>
      <w:r w:rsidR="00A166C3">
        <w:t xml:space="preserve"> </w:t>
      </w:r>
      <w:r w:rsidR="00BD32BC">
        <w:t xml:space="preserve">it </w:t>
      </w:r>
      <w:r w:rsidR="00445B0E">
        <w:t xml:space="preserve">is </w:t>
      </w:r>
      <w:r w:rsidR="00BD32BC">
        <w:t>worth mentioning that f</w:t>
      </w:r>
      <w:r w:rsidR="00A166C3">
        <w:t>or inter-band CA in FR2, it has</w:t>
      </w:r>
      <w:r w:rsidR="00992399">
        <w:t xml:space="preserve"> been</w:t>
      </w:r>
      <w:r w:rsidR="00A166C3">
        <w:t xml:space="preserve"> specified that the UE on two CCs should have </w:t>
      </w:r>
      <w:r w:rsidR="00445B0E">
        <w:t xml:space="preserve">a </w:t>
      </w:r>
      <w:r w:rsidR="00BD32BC">
        <w:t>“</w:t>
      </w:r>
      <w:r w:rsidR="00A166C3">
        <w:t xml:space="preserve">common </w:t>
      </w:r>
      <w:r w:rsidR="00BD32BC">
        <w:t>spherical coverage</w:t>
      </w:r>
      <w:r w:rsidR="00A166C3">
        <w:t xml:space="preserve"> </w:t>
      </w:r>
      <w:r w:rsidR="00BD32BC">
        <w:t>region</w:t>
      </w:r>
      <w:r w:rsidR="00FE3F5A">
        <w:t>”</w:t>
      </w:r>
      <w:r w:rsidR="001019B3">
        <w:t>.</w:t>
      </w:r>
      <w:r w:rsidR="00A166C3">
        <w:t xml:space="preserve"> </w:t>
      </w:r>
      <w:r w:rsidR="006D640E">
        <w:t xml:space="preserve">This </w:t>
      </w:r>
      <w:r w:rsidR="00FE3F5A">
        <w:t xml:space="preserve">can be taken as a starting point, where RAN4 can define the sensing beam as having a common spherical coverage region </w:t>
      </w:r>
      <w:r w:rsidR="001019B3">
        <w:t xml:space="preserve">to </w:t>
      </w:r>
      <w:r w:rsidR="00FE3F5A">
        <w:t>the</w:t>
      </w:r>
      <w:r w:rsidR="00BD32BC">
        <w:t xml:space="preserve"> transmission </w:t>
      </w:r>
      <w:r w:rsidR="00695223">
        <w:t>beam</w:t>
      </w:r>
      <w:r w:rsidR="0017136E" w:rsidRPr="0017136E">
        <w:rPr>
          <w:lang w:val="en-US"/>
        </w:rPr>
        <w:t>.</w:t>
      </w:r>
      <w:r w:rsidR="0017136E">
        <w:rPr>
          <w:lang w:val="en-US"/>
        </w:rPr>
        <w:t xml:space="preserve"> However, further study and discussion on </w:t>
      </w:r>
      <w:r w:rsidR="001019B3">
        <w:rPr>
          <w:lang w:val="en-US"/>
        </w:rPr>
        <w:t xml:space="preserve">how to </w:t>
      </w:r>
      <w:r w:rsidR="00936B45">
        <w:t>defin</w:t>
      </w:r>
      <w:r w:rsidR="001019B3">
        <w:t>e</w:t>
      </w:r>
      <w:r w:rsidR="00BD32BC">
        <w:t xml:space="preserve"> the spherical coverage region of </w:t>
      </w:r>
      <w:r w:rsidR="00FE3F5A">
        <w:t xml:space="preserve">the </w:t>
      </w:r>
      <w:r w:rsidR="00BD32BC">
        <w:t xml:space="preserve">sensing beam and transmission beam </w:t>
      </w:r>
      <w:r w:rsidR="0017136E" w:rsidRPr="0017136E">
        <w:rPr>
          <w:lang w:val="en-US"/>
        </w:rPr>
        <w:t>wi</w:t>
      </w:r>
      <w:r w:rsidR="0017136E">
        <w:rPr>
          <w:lang w:val="en-US"/>
        </w:rPr>
        <w:t>ll be needed</w:t>
      </w:r>
      <w:r w:rsidR="00BD32BC">
        <w:t xml:space="preserve">. </w:t>
      </w:r>
    </w:p>
    <w:p w14:paraId="47644895" w14:textId="49F63EB9" w:rsidR="00F76A92" w:rsidRPr="009C4157" w:rsidRDefault="00F76A92" w:rsidP="00C8485D">
      <w:pPr>
        <w:pStyle w:val="BodyText"/>
        <w:jc w:val="both"/>
        <w:rPr>
          <w:b/>
          <w:bCs/>
          <w:lang w:val="en-US"/>
        </w:rPr>
      </w:pPr>
      <w:r w:rsidRPr="009C4157">
        <w:rPr>
          <w:b/>
          <w:bCs/>
          <w:lang w:val="en-US"/>
        </w:rPr>
        <w:t xml:space="preserve">Observation 3: the common spherical coverage concept </w:t>
      </w:r>
      <w:r w:rsidR="009C4157" w:rsidRPr="009C4157">
        <w:rPr>
          <w:b/>
          <w:bCs/>
          <w:lang w:val="en-US"/>
        </w:rPr>
        <w:t>may potential</w:t>
      </w:r>
      <w:r w:rsidR="00FE3F5A">
        <w:rPr>
          <w:b/>
          <w:bCs/>
          <w:lang w:val="en-US"/>
        </w:rPr>
        <w:t>ly</w:t>
      </w:r>
      <w:r w:rsidR="009C4157" w:rsidRPr="009C4157">
        <w:rPr>
          <w:b/>
          <w:bCs/>
          <w:lang w:val="en-US"/>
        </w:rPr>
        <w:t xml:space="preserve"> be used as a starting point to define the relation between sensing beam and transmission beam </w:t>
      </w:r>
    </w:p>
    <w:p w14:paraId="752CD85D" w14:textId="77777777" w:rsidR="000230B3" w:rsidRDefault="00025FCD" w:rsidP="008D6E62">
      <w:pPr>
        <w:pStyle w:val="Heading1"/>
        <w:rPr>
          <w:lang w:val="en-US"/>
        </w:rPr>
      </w:pPr>
      <w:r>
        <w:rPr>
          <w:lang w:val="en-US"/>
        </w:rPr>
        <w:t>Conclusions</w:t>
      </w:r>
    </w:p>
    <w:p w14:paraId="5475522F" w14:textId="010162AA"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085154D" w14:textId="77ADC4D2" w:rsidR="00F76A92" w:rsidRPr="00695223" w:rsidRDefault="00F76A92" w:rsidP="00F76A92">
      <w:pPr>
        <w:pStyle w:val="BodyText"/>
        <w:jc w:val="both"/>
        <w:rPr>
          <w:b/>
          <w:bCs/>
        </w:rPr>
      </w:pPr>
      <w:r w:rsidRPr="00695223">
        <w:rPr>
          <w:b/>
          <w:bCs/>
        </w:rPr>
        <w:t xml:space="preserve">Observation </w:t>
      </w:r>
      <w:r w:rsidRPr="00FB09DB">
        <w:rPr>
          <w:b/>
          <w:bCs/>
          <w:lang w:val="en-US"/>
        </w:rPr>
        <w:t>1</w:t>
      </w:r>
      <w:r w:rsidRPr="00695223">
        <w:rPr>
          <w:b/>
          <w:bCs/>
        </w:rPr>
        <w:t xml:space="preserve">: the existing beam correspondence test can </w:t>
      </w:r>
      <w:r>
        <w:rPr>
          <w:b/>
          <w:bCs/>
        </w:rPr>
        <w:t xml:space="preserve">not </w:t>
      </w:r>
      <w:r w:rsidRPr="00695223">
        <w:rPr>
          <w:b/>
          <w:bCs/>
        </w:rPr>
        <w:t>verify if the UE use</w:t>
      </w:r>
      <w:r>
        <w:rPr>
          <w:b/>
          <w:bCs/>
        </w:rPr>
        <w:t>s</w:t>
      </w:r>
      <w:r w:rsidRPr="00695223">
        <w:rPr>
          <w:b/>
          <w:bCs/>
        </w:rPr>
        <w:t xml:space="preserve"> the same beam for sensing and transmission</w:t>
      </w:r>
      <w:r w:rsidR="00B711C5">
        <w:rPr>
          <w:b/>
          <w:bCs/>
        </w:rPr>
        <w:t>,</w:t>
      </w:r>
      <w:r w:rsidRPr="00695223">
        <w:rPr>
          <w:b/>
          <w:bCs/>
        </w:rPr>
        <w:t xml:space="preserve"> regardless </w:t>
      </w:r>
      <w:r>
        <w:rPr>
          <w:b/>
          <w:bCs/>
        </w:rPr>
        <w:t xml:space="preserve">of </w:t>
      </w:r>
      <w:r w:rsidRPr="00695223">
        <w:rPr>
          <w:b/>
          <w:bCs/>
        </w:rPr>
        <w:t xml:space="preserve">the beam correspondence capability. </w:t>
      </w:r>
    </w:p>
    <w:p w14:paraId="6FEBC407" w14:textId="4EA4266D" w:rsidR="00F76A92" w:rsidRDefault="00F76A92" w:rsidP="00F76A92">
      <w:pPr>
        <w:pStyle w:val="BodyText"/>
        <w:jc w:val="both"/>
        <w:rPr>
          <w:b/>
          <w:bCs/>
        </w:rPr>
      </w:pPr>
      <w:r w:rsidRPr="00693A46">
        <w:rPr>
          <w:b/>
          <w:bCs/>
        </w:rPr>
        <w:t xml:space="preserve">Observation </w:t>
      </w:r>
      <w:r w:rsidRPr="00FB09DB">
        <w:rPr>
          <w:b/>
          <w:bCs/>
          <w:lang w:val="en-US"/>
        </w:rPr>
        <w:t>2</w:t>
      </w:r>
      <w:r w:rsidRPr="00693A46">
        <w:rPr>
          <w:b/>
          <w:bCs/>
        </w:rPr>
        <w:t>: it is hard to define and adopt</w:t>
      </w:r>
      <w:r w:rsidRPr="005A18EF">
        <w:rPr>
          <w:b/>
          <w:bCs/>
          <w:lang w:val="en-US"/>
        </w:rPr>
        <w:t xml:space="preserve"> </w:t>
      </w:r>
      <w:r>
        <w:rPr>
          <w:b/>
          <w:bCs/>
          <w:lang w:val="en-US"/>
        </w:rPr>
        <w:t>the</w:t>
      </w:r>
      <w:r w:rsidRPr="00693A46">
        <w:rPr>
          <w:b/>
          <w:bCs/>
        </w:rPr>
        <w:t xml:space="preserve"> </w:t>
      </w:r>
      <w:r w:rsidRPr="00826876">
        <w:rPr>
          <w:b/>
          <w:bCs/>
          <w:lang w:val="en-US"/>
        </w:rPr>
        <w:t>X</w:t>
      </w:r>
      <w:r>
        <w:rPr>
          <w:b/>
          <w:bCs/>
        </w:rPr>
        <w:t xml:space="preserve"> dB beamwidth method in practical </w:t>
      </w:r>
      <w:r w:rsidRPr="00FB09DB">
        <w:rPr>
          <w:b/>
          <w:bCs/>
          <w:lang w:val="en-US"/>
        </w:rPr>
        <w:t>U</w:t>
      </w:r>
      <w:r>
        <w:rPr>
          <w:b/>
          <w:bCs/>
          <w:lang w:val="en-US"/>
        </w:rPr>
        <w:t xml:space="preserve">E </w:t>
      </w:r>
      <w:r>
        <w:rPr>
          <w:b/>
          <w:bCs/>
        </w:rPr>
        <w:t>RF requirements and tests</w:t>
      </w:r>
      <w:r w:rsidRPr="00693A46">
        <w:rPr>
          <w:b/>
          <w:bCs/>
        </w:rPr>
        <w:t xml:space="preserve">. </w:t>
      </w:r>
    </w:p>
    <w:p w14:paraId="0A630B74" w14:textId="06D10B1D" w:rsidR="009C4157" w:rsidRPr="009C4157" w:rsidRDefault="009C4157" w:rsidP="00F76A92">
      <w:pPr>
        <w:pStyle w:val="BodyText"/>
        <w:jc w:val="both"/>
        <w:rPr>
          <w:b/>
          <w:bCs/>
          <w:lang w:val="en-US"/>
        </w:rPr>
      </w:pPr>
      <w:r w:rsidRPr="009C4157">
        <w:rPr>
          <w:b/>
          <w:bCs/>
          <w:lang w:val="en-US"/>
        </w:rPr>
        <w:t>Observation 3: the common spherical coverage concept may potential</w:t>
      </w:r>
      <w:r w:rsidR="00FE3F5A">
        <w:rPr>
          <w:b/>
          <w:bCs/>
          <w:lang w:val="en-US"/>
        </w:rPr>
        <w:t>ly</w:t>
      </w:r>
      <w:r w:rsidRPr="009C4157">
        <w:rPr>
          <w:b/>
          <w:bCs/>
          <w:lang w:val="en-US"/>
        </w:rPr>
        <w:t xml:space="preserve"> be used as a starting point to define the relation between sensing beam and transmission beam </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59209D09" w14:textId="0675CF21" w:rsidR="0083135D" w:rsidRPr="0083135D" w:rsidRDefault="00364C25" w:rsidP="00CD1A70">
      <w:pPr>
        <w:pStyle w:val="BodyText"/>
        <w:numPr>
          <w:ilvl w:val="0"/>
          <w:numId w:val="7"/>
        </w:numPr>
        <w:jc w:val="both"/>
        <w:rPr>
          <w:lang w:val="en-US"/>
        </w:rPr>
      </w:pPr>
      <w:r w:rsidRPr="00364C25">
        <w:rPr>
          <w:lang w:val="en-US"/>
        </w:rPr>
        <w:t>R4-2200045</w:t>
      </w:r>
      <w:r w:rsidR="002044F3">
        <w:rPr>
          <w:lang w:val="en-US"/>
        </w:rPr>
        <w:t>,</w:t>
      </w:r>
      <w:r w:rsidRPr="00364C25">
        <w:rPr>
          <w:lang w:val="en-US"/>
        </w:rPr>
        <w:tab/>
        <w:t>LS on sensing beam selection</w:t>
      </w:r>
      <w:r w:rsidR="002044F3">
        <w:rPr>
          <w:lang w:val="en-US"/>
        </w:rPr>
        <w:t>,</w:t>
      </w:r>
      <w:r>
        <w:t xml:space="preserve"> </w:t>
      </w:r>
      <w:r w:rsidRPr="00364C25">
        <w:rPr>
          <w:lang w:val="en-US"/>
        </w:rPr>
        <w:t>RAN1</w:t>
      </w:r>
    </w:p>
    <w:p w14:paraId="5EA97A3C" w14:textId="7097CA86" w:rsidR="0083135D" w:rsidRDefault="0083135D" w:rsidP="0083135D">
      <w:pPr>
        <w:pStyle w:val="BodyText"/>
        <w:numPr>
          <w:ilvl w:val="0"/>
          <w:numId w:val="7"/>
        </w:numPr>
        <w:rPr>
          <w:lang w:val="en-US"/>
        </w:rPr>
      </w:pPr>
      <w:bookmarkStart w:id="2" w:name="_Ref92620913"/>
      <w:r w:rsidRPr="00916020">
        <w:rPr>
          <w:lang w:val="en-US"/>
        </w:rPr>
        <w:t>R4-</w:t>
      </w:r>
      <w:r>
        <w:rPr>
          <w:lang w:val="en-US"/>
        </w:rPr>
        <w:t>2001325</w:t>
      </w:r>
      <w:r w:rsidR="002044F3">
        <w:rPr>
          <w:lang w:val="en-US"/>
        </w:rPr>
        <w:t>,</w:t>
      </w:r>
      <w:r w:rsidR="00364C25">
        <w:t xml:space="preserve"> </w:t>
      </w:r>
      <w:r w:rsidRPr="00DB2A13">
        <w:rPr>
          <w:lang w:val="en-US"/>
        </w:rPr>
        <w:t xml:space="preserve">Test configuration and requirements for beam correspondence during </w:t>
      </w:r>
      <w:r w:rsidR="0017136E" w:rsidRPr="00DB2A13">
        <w:rPr>
          <w:lang w:val="en-US"/>
        </w:rPr>
        <w:t>initial</w:t>
      </w:r>
      <w:r w:rsidRPr="00DB2A13">
        <w:rPr>
          <w:lang w:val="en-US"/>
        </w:rPr>
        <w:t xml:space="preserve"> access</w:t>
      </w:r>
      <w:r w:rsidR="002044F3">
        <w:rPr>
          <w:lang w:val="en-US"/>
        </w:rPr>
        <w:t>,</w:t>
      </w:r>
      <w:r w:rsidR="00364C25">
        <w:t xml:space="preserve"> </w:t>
      </w:r>
      <w:r>
        <w:rPr>
          <w:lang w:val="en-US"/>
        </w:rPr>
        <w:t>Ericsson, Sony</w:t>
      </w:r>
      <w:bookmarkEnd w:id="2"/>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7224C" w14:textId="77777777" w:rsidR="004C7F67" w:rsidRDefault="004C7F67">
      <w:r>
        <w:separator/>
      </w:r>
    </w:p>
  </w:endnote>
  <w:endnote w:type="continuationSeparator" w:id="0">
    <w:p w14:paraId="0C915982" w14:textId="77777777" w:rsidR="004C7F67" w:rsidRDefault="004C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93A60" w14:textId="77777777" w:rsidR="004C7F67" w:rsidRDefault="004C7F67">
      <w:r>
        <w:separator/>
      </w:r>
    </w:p>
  </w:footnote>
  <w:footnote w:type="continuationSeparator" w:id="0">
    <w:p w14:paraId="76B67C5A" w14:textId="77777777" w:rsidR="004C7F67" w:rsidRDefault="004C7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1" w15:restartNumberingAfterBreak="0">
    <w:nsid w:val="708A2C29"/>
    <w:multiLevelType w:val="hybridMultilevel"/>
    <w:tmpl w:val="0CF22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101C99"/>
    <w:multiLevelType w:val="hybridMultilevel"/>
    <w:tmpl w:val="B8A29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3"/>
  </w:num>
  <w:num w:numId="5">
    <w:abstractNumId w:val="5"/>
  </w:num>
  <w:num w:numId="6">
    <w:abstractNumId w:val="16"/>
  </w:num>
  <w:num w:numId="7">
    <w:abstractNumId w:val="6"/>
  </w:num>
  <w:num w:numId="8">
    <w:abstractNumId w:val="4"/>
  </w:num>
  <w:num w:numId="9">
    <w:abstractNumId w:val="9"/>
  </w:num>
  <w:num w:numId="10">
    <w:abstractNumId w:val="18"/>
  </w:num>
  <w:num w:numId="11">
    <w:abstractNumId w:val="10"/>
  </w:num>
  <w:num w:numId="12">
    <w:abstractNumId w:val="12"/>
  </w:num>
  <w:num w:numId="13">
    <w:abstractNumId w:val="14"/>
  </w:num>
  <w:num w:numId="14">
    <w:abstractNumId w:val="3"/>
  </w:num>
  <w:num w:numId="15">
    <w:abstractNumId w:val="14"/>
  </w:num>
  <w:num w:numId="16">
    <w:abstractNumId w:val="14"/>
  </w:num>
  <w:num w:numId="17">
    <w:abstractNumId w:val="15"/>
  </w:num>
  <w:num w:numId="18">
    <w:abstractNumId w:val="7"/>
  </w:num>
  <w:num w:numId="19">
    <w:abstractNumId w:val="11"/>
  </w:num>
  <w:num w:numId="20">
    <w:abstractNumId w:val="8"/>
  </w:num>
  <w:num w:numId="21">
    <w:abstractNumId w:val="2"/>
  </w:num>
  <w:num w:numId="22">
    <w:abstractNumId w:val="14"/>
  </w:num>
  <w:num w:numId="23">
    <w:abstractNumId w:val="14"/>
  </w:num>
  <w:num w:numId="24">
    <w:abstractNumId w:val="17"/>
  </w:num>
  <w:num w:numId="25">
    <w:abstractNumId w:val="20"/>
  </w:num>
  <w:num w:numId="26">
    <w:abstractNumId w:val="14"/>
  </w:num>
  <w:num w:numId="27">
    <w:abstractNumId w:val="14"/>
  </w:num>
  <w:num w:numId="28">
    <w:abstractNumId w:val="1"/>
  </w:num>
  <w:num w:numId="29">
    <w:abstractNumId w:val="19"/>
  </w:num>
  <w:num w:numId="30">
    <w:abstractNumId w:val="14"/>
  </w:num>
  <w:num w:numId="31">
    <w:abstractNumId w:val="22"/>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qsFALvdq0c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AF1"/>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19B3"/>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36E"/>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236C"/>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5342"/>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812"/>
    <w:rsid w:val="001B09A7"/>
    <w:rsid w:val="001B0BDA"/>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29C"/>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310"/>
    <w:rsid w:val="001F76CD"/>
    <w:rsid w:val="001F7916"/>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4F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6E1D"/>
    <w:rsid w:val="0026703D"/>
    <w:rsid w:val="002670E8"/>
    <w:rsid w:val="002674BB"/>
    <w:rsid w:val="002700F7"/>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BEC"/>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5FEA"/>
    <w:rsid w:val="0032621E"/>
    <w:rsid w:val="0032622D"/>
    <w:rsid w:val="00326AB5"/>
    <w:rsid w:val="00326D3D"/>
    <w:rsid w:val="00326D9F"/>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2B"/>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2642"/>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86D"/>
    <w:rsid w:val="004708B0"/>
    <w:rsid w:val="004709D0"/>
    <w:rsid w:val="004709FE"/>
    <w:rsid w:val="00470CCD"/>
    <w:rsid w:val="00470ECA"/>
    <w:rsid w:val="0047217D"/>
    <w:rsid w:val="004721D9"/>
    <w:rsid w:val="004726CB"/>
    <w:rsid w:val="00472B5E"/>
    <w:rsid w:val="00472B91"/>
    <w:rsid w:val="00472E22"/>
    <w:rsid w:val="00473E46"/>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396"/>
    <w:rsid w:val="004C5A0F"/>
    <w:rsid w:val="004C5D4C"/>
    <w:rsid w:val="004C6068"/>
    <w:rsid w:val="004C63CE"/>
    <w:rsid w:val="004C670D"/>
    <w:rsid w:val="004C6B05"/>
    <w:rsid w:val="004C72F7"/>
    <w:rsid w:val="004C7309"/>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8EF"/>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013"/>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E8D"/>
    <w:rsid w:val="00627EA3"/>
    <w:rsid w:val="00630884"/>
    <w:rsid w:val="0063128C"/>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C5C"/>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49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BEC"/>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7D"/>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294"/>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876"/>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0F5"/>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B45"/>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399"/>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157"/>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162"/>
    <w:rsid w:val="00A12C6B"/>
    <w:rsid w:val="00A1360B"/>
    <w:rsid w:val="00A136D0"/>
    <w:rsid w:val="00A13865"/>
    <w:rsid w:val="00A13B0C"/>
    <w:rsid w:val="00A1424F"/>
    <w:rsid w:val="00A142FB"/>
    <w:rsid w:val="00A14450"/>
    <w:rsid w:val="00A1457B"/>
    <w:rsid w:val="00A14589"/>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777"/>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406B7"/>
    <w:rsid w:val="00A40968"/>
    <w:rsid w:val="00A40F4D"/>
    <w:rsid w:val="00A414A2"/>
    <w:rsid w:val="00A4170D"/>
    <w:rsid w:val="00A41D37"/>
    <w:rsid w:val="00A4204B"/>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66DA"/>
    <w:rsid w:val="00B671D4"/>
    <w:rsid w:val="00B6729B"/>
    <w:rsid w:val="00B676EA"/>
    <w:rsid w:val="00B67798"/>
    <w:rsid w:val="00B67A93"/>
    <w:rsid w:val="00B67B39"/>
    <w:rsid w:val="00B67E60"/>
    <w:rsid w:val="00B70782"/>
    <w:rsid w:val="00B70DA3"/>
    <w:rsid w:val="00B711C5"/>
    <w:rsid w:val="00B718C3"/>
    <w:rsid w:val="00B71DFF"/>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F9C"/>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6E9B"/>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142"/>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216"/>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27E"/>
    <w:rsid w:val="00CC761C"/>
    <w:rsid w:val="00CC77B8"/>
    <w:rsid w:val="00CC7B8B"/>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E8"/>
    <w:rsid w:val="00D94546"/>
    <w:rsid w:val="00D94A63"/>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0E11"/>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47C6"/>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2D3"/>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4BD"/>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25F6"/>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A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76A92"/>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09DB"/>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3F5A"/>
    <w:rsid w:val="00FE4256"/>
    <w:rsid w:val="00FE485E"/>
    <w:rsid w:val="00FE4C25"/>
    <w:rsid w:val="00FE4F87"/>
    <w:rsid w:val="00FE5258"/>
    <w:rsid w:val="00FE52E6"/>
    <w:rsid w:val="00FE536E"/>
    <w:rsid w:val="00FE60F0"/>
    <w:rsid w:val="00FE61EE"/>
    <w:rsid w:val="00FE6583"/>
    <w:rsid w:val="00FE67FB"/>
    <w:rsid w:val="00FE69CB"/>
    <w:rsid w:val="00FF04B6"/>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779</Words>
  <Characters>4305</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2022-01-10T09:54:00Z</dcterms:created>
  <dcterms:modified xsi:type="dcterms:W3CDTF">2022-01-10T09:54:00Z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